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1E3A5F"/>
          <w:sz w:val="18"/>
        </w:rPr>
        <w:t>TANUX AI</w:t>
      </w:r>
    </w:p>
    <w:p>
      <w:pPr>
        <w:pStyle w:val="Heading1"/>
      </w:pPr>
      <w:r>
        <w:rPr>
          <w:color w:val="1E3A5F"/>
        </w:rPr>
        <w:t>Шаблон скрипта продаж по телефону (B2B)</w:t>
      </w:r>
    </w:p>
    <w:p>
      <w:r>
        <w:rPr>
          <w:i/>
        </w:rPr>
        <w:t>Учебный шаблон. Квадратные скобки заполняете вы; формулировки — опора, а не текст для зачитывания.</w:t>
      </w:r>
    </w:p>
    <w:p>
      <w:r>
        <w:t>Продукт и сценарий: ______________________________________________</w:t>
      </w:r>
    </w:p>
    <w:p>
      <w:r>
        <w:t>Ответственный: ______________________________________________</w:t>
      </w:r>
    </w:p>
    <w:p>
      <w:r>
        <w:t>Версия скрипта и дата: ______________________________________________</w:t>
      </w:r>
    </w:p>
    <w:p>
      <w:pPr>
        <w:pStyle w:val="Heading2"/>
      </w:pPr>
      <w:r>
        <w:rPr>
          <w:color w:val="1E3A5F"/>
        </w:rPr>
        <w:t>Пять этапов скрипта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005"/>
        <w:gridCol w:w="3005"/>
        <w:gridCol w:w="3005"/>
        <w:gridCol w:w="3005"/>
        <w:gridCol w:w="3005"/>
      </w:tblGrid>
      <w:tr>
        <w:trPr>
          <w:tblHeader w:val="true"/>
        </w:trPr>
        <w:tc>
          <w:tcPr>
            <w:tcW w:type="dxa" w:w="2041"/>
            <w:shd w:val="clear" w:color="auto" w:fill="1E3A5F"/>
          </w:tcPr>
          <w:p>
            <w:r/>
            <w:r>
              <w:rPr>
                <w:b/>
                <w:color w:val="FFFFFF"/>
                <w:sz w:val="19"/>
              </w:rPr>
              <w:t>Этап</w:t>
            </w:r>
          </w:p>
        </w:tc>
        <w:tc>
          <w:tcPr>
            <w:tcW w:type="dxa" w:w="2835"/>
            <w:shd w:val="clear" w:color="auto" w:fill="1E3A5F"/>
          </w:tcPr>
          <w:p>
            <w:r/>
            <w:r>
              <w:rPr>
                <w:b/>
                <w:color w:val="FFFFFF"/>
                <w:sz w:val="19"/>
              </w:rPr>
              <w:t>Цель</w:t>
            </w:r>
          </w:p>
        </w:tc>
        <w:tc>
          <w:tcPr>
            <w:tcW w:type="dxa" w:w="4649"/>
            <w:shd w:val="clear" w:color="auto" w:fill="1E3A5F"/>
          </w:tcPr>
          <w:p>
            <w:r/>
            <w:r>
              <w:rPr>
                <w:b/>
                <w:color w:val="FFFFFF"/>
                <w:sz w:val="19"/>
              </w:rPr>
              <w:t>Опорная формулировка</w:t>
            </w:r>
          </w:p>
        </w:tc>
        <w:tc>
          <w:tcPr>
            <w:tcW w:type="dxa" w:w="3288"/>
            <w:shd w:val="clear" w:color="auto" w:fill="1E3A5F"/>
          </w:tcPr>
          <w:p>
            <w:r/>
            <w:r>
              <w:rPr>
                <w:b/>
                <w:color w:val="FFFFFF"/>
                <w:sz w:val="19"/>
              </w:rPr>
              <w:t>Признак выполнения</w:t>
            </w:r>
          </w:p>
        </w:tc>
        <w:tc>
          <w:tcPr>
            <w:tcW w:type="dxa" w:w="2268"/>
            <w:shd w:val="clear" w:color="auto" w:fill="1E3A5F"/>
          </w:tcPr>
          <w:p>
            <w:r/>
            <w:r>
              <w:rPr>
                <w:b/>
                <w:color w:val="FFFFFF"/>
                <w:sz w:val="19"/>
              </w:rPr>
              <w:t>Ваша формулировка</w:t>
            </w:r>
          </w:p>
        </w:tc>
      </w:tr>
      <w:tr>
        <w:tc>
          <w:tcPr>
            <w:tcW w:type="dxa" w:w="2041"/>
            <w:shd w:val="clear" w:color="auto" w:fill="E8EDF3"/>
          </w:tcPr>
          <w:p>
            <w:r/>
            <w:r>
              <w:rPr>
                <w:b/>
                <w:sz w:val="19"/>
              </w:rPr>
              <w:t>1. Открытие</w:t>
            </w:r>
          </w:p>
        </w:tc>
        <w:tc>
          <w:tcPr>
            <w:tcW w:type="dxa" w:w="2835"/>
          </w:tcPr>
          <w:p>
            <w:r/>
            <w:r>
              <w:rPr>
                <w:b w:val="0"/>
                <w:sz w:val="19"/>
              </w:rPr>
              <w:t>Представиться, назвать причину звонка и получить разрешение продолжить.</w:t>
            </w:r>
          </w:p>
        </w:tc>
        <w:tc>
          <w:tcPr>
            <w:tcW w:type="dxa" w:w="4649"/>
          </w:tcPr>
          <w:p>
            <w:r/>
            <w:r>
              <w:rPr>
                <w:b w:val="0"/>
                <w:sz w:val="19"/>
              </w:rPr>
              <w:t>«Добрый день, [имя]. Меня зовут [имя менеджера], компания [компания]. Звоню по поводу [причина в одну фразу]. Сейчас удобно поговорить две минуты?»</w:t>
            </w:r>
          </w:p>
        </w:tc>
        <w:tc>
          <w:tcPr>
            <w:tcW w:type="dxa" w:w="3288"/>
          </w:tcPr>
          <w:p>
            <w:r/>
            <w:r>
              <w:rPr>
                <w:b w:val="0"/>
                <w:sz w:val="19"/>
              </w:rPr>
              <w:t>Клиент отвечает на вопрос, а не переспрашивает, кто звонит.</w:t>
            </w:r>
          </w:p>
        </w:tc>
        <w:tc>
          <w:tcPr>
            <w:tcW w:type="dxa" w:w="2268"/>
          </w:tcPr>
          <w:p>
            <w:r/>
            <w:r>
              <w:rPr>
                <w:b w:val="0"/>
                <w:sz w:val="19"/>
              </w:rPr>
            </w:r>
          </w:p>
        </w:tc>
      </w:tr>
      <w:tr>
        <w:tc>
          <w:tcPr>
            <w:tcW w:type="dxa" w:w="2041"/>
            <w:shd w:val="clear" w:color="auto" w:fill="E8EDF3"/>
          </w:tcPr>
          <w:p>
            <w:r/>
            <w:r>
              <w:rPr>
                <w:b/>
                <w:sz w:val="19"/>
              </w:rPr>
              <w:t>2. Выявление потребности</w:t>
            </w:r>
          </w:p>
        </w:tc>
        <w:tc>
          <w:tcPr>
            <w:tcW w:type="dxa" w:w="2835"/>
          </w:tcPr>
          <w:p>
            <w:r/>
            <w:r>
              <w:rPr>
                <w:b w:val="0"/>
                <w:sz w:val="19"/>
              </w:rPr>
              <w:t>Понять задачу клиента, сроки и то, кто принимает решение.</w:t>
            </w:r>
          </w:p>
        </w:tc>
        <w:tc>
          <w:tcPr>
            <w:tcW w:type="dxa" w:w="4649"/>
          </w:tcPr>
          <w:p>
            <w:r/>
            <w:r>
              <w:rPr>
                <w:b w:val="0"/>
                <w:sz w:val="19"/>
              </w:rPr>
              <w:t>«Как сейчас решаете [задачу]? Что в этом не устраивает? К какому сроку нужен результат? Кто ещё участвует в выборе?»</w:t>
            </w:r>
          </w:p>
        </w:tc>
        <w:tc>
          <w:tcPr>
            <w:tcW w:type="dxa" w:w="3288"/>
          </w:tcPr>
          <w:p>
            <w:r/>
            <w:r>
              <w:rPr>
                <w:b w:val="0"/>
                <w:sz w:val="19"/>
              </w:rPr>
              <w:t>Менеджер задал вопросы о задаче и сроке и в следующих репликах опирается на ответы клиента.</w:t>
            </w:r>
          </w:p>
        </w:tc>
        <w:tc>
          <w:tcPr>
            <w:tcW w:type="dxa" w:w="2268"/>
          </w:tcPr>
          <w:p>
            <w:r/>
            <w:r>
              <w:rPr>
                <w:b w:val="0"/>
                <w:sz w:val="19"/>
              </w:rPr>
            </w:r>
          </w:p>
        </w:tc>
      </w:tr>
      <w:tr>
        <w:tc>
          <w:tcPr>
            <w:tcW w:type="dxa" w:w="2041"/>
            <w:shd w:val="clear" w:color="auto" w:fill="E8EDF3"/>
          </w:tcPr>
          <w:p>
            <w:r/>
            <w:r>
              <w:rPr>
                <w:b/>
                <w:sz w:val="19"/>
              </w:rPr>
              <w:t>3. Презентация</w:t>
            </w:r>
          </w:p>
        </w:tc>
        <w:tc>
          <w:tcPr>
            <w:tcW w:type="dxa" w:w="2835"/>
          </w:tcPr>
          <w:p>
            <w:r/>
            <w:r>
              <w:rPr>
                <w:b w:val="0"/>
                <w:sz w:val="19"/>
              </w:rPr>
              <w:t>Показать, как продукт решает именно названную задачу.</w:t>
            </w:r>
          </w:p>
        </w:tc>
        <w:tc>
          <w:tcPr>
            <w:tcW w:type="dxa" w:w="4649"/>
          </w:tcPr>
          <w:p>
            <w:r/>
            <w:r>
              <w:rPr>
                <w:b w:val="0"/>
                <w:sz w:val="19"/>
              </w:rPr>
              <w:t>«Вы сказали, что [задача клиента]. Для этого у нас [одно-два свойства продукта], поэтому [что изменится у клиента]. Насколько это подходит?»</w:t>
            </w:r>
          </w:p>
        </w:tc>
        <w:tc>
          <w:tcPr>
            <w:tcW w:type="dxa" w:w="3288"/>
          </w:tcPr>
          <w:p>
            <w:r/>
            <w:r>
              <w:rPr>
                <w:b w:val="0"/>
                <w:sz w:val="19"/>
              </w:rPr>
              <w:t>В презентации есть хотя бы одна отсылка к словам клиента, а не общий перечень возможностей.</w:t>
            </w:r>
          </w:p>
        </w:tc>
        <w:tc>
          <w:tcPr>
            <w:tcW w:type="dxa" w:w="2268"/>
          </w:tcPr>
          <w:p>
            <w:r/>
            <w:r>
              <w:rPr>
                <w:b w:val="0"/>
                <w:sz w:val="19"/>
              </w:rPr>
            </w:r>
          </w:p>
        </w:tc>
      </w:tr>
      <w:tr>
        <w:tc>
          <w:tcPr>
            <w:tcW w:type="dxa" w:w="2041"/>
            <w:shd w:val="clear" w:color="auto" w:fill="E8EDF3"/>
          </w:tcPr>
          <w:p>
            <w:r/>
            <w:r>
              <w:rPr>
                <w:b/>
                <w:sz w:val="19"/>
              </w:rPr>
              <w:t>4. Работа с возражениями</w:t>
            </w:r>
          </w:p>
        </w:tc>
        <w:tc>
          <w:tcPr>
            <w:tcW w:type="dxa" w:w="2835"/>
          </w:tcPr>
          <w:p>
            <w:r/>
            <w:r>
              <w:rPr>
                <w:b w:val="0"/>
                <w:sz w:val="19"/>
              </w:rPr>
              <w:t>Понять причину сомнения и ответить по существу.</w:t>
            </w:r>
          </w:p>
        </w:tc>
        <w:tc>
          <w:tcPr>
            <w:tcW w:type="dxa" w:w="4649"/>
          </w:tcPr>
          <w:p>
            <w:r/>
            <w:r>
              <w:rPr>
                <w:b w:val="0"/>
                <w:sz w:val="19"/>
              </w:rPr>
              <w:t>«Правильно понимаю, что смущает [возражение]? Что сравниваете: стоимость, состав или сроки? [Ответ по существу.] Этот вопрос теперь снят?»</w:t>
            </w:r>
          </w:p>
        </w:tc>
        <w:tc>
          <w:tcPr>
            <w:tcW w:type="dxa" w:w="3288"/>
          </w:tcPr>
          <w:p>
            <w:r/>
            <w:r>
              <w:rPr>
                <w:b w:val="0"/>
                <w:sz w:val="19"/>
              </w:rPr>
              <w:t>Менеджер уточнил причину, ответил и проверил, что вопрос снят.</w:t>
            </w:r>
          </w:p>
        </w:tc>
        <w:tc>
          <w:tcPr>
            <w:tcW w:type="dxa" w:w="2268"/>
          </w:tcPr>
          <w:p>
            <w:r/>
            <w:r>
              <w:rPr>
                <w:b w:val="0"/>
                <w:sz w:val="19"/>
              </w:rPr>
            </w:r>
          </w:p>
        </w:tc>
      </w:tr>
      <w:tr>
        <w:tc>
          <w:tcPr>
            <w:tcW w:type="dxa" w:w="2041"/>
            <w:shd w:val="clear" w:color="auto" w:fill="E8EDF3"/>
          </w:tcPr>
          <w:p>
            <w:r/>
            <w:r>
              <w:rPr>
                <w:b/>
                <w:sz w:val="19"/>
              </w:rPr>
              <w:t>5. Следующий шаг</w:t>
            </w:r>
          </w:p>
        </w:tc>
        <w:tc>
          <w:tcPr>
            <w:tcW w:type="dxa" w:w="2835"/>
          </w:tcPr>
          <w:p>
            <w:r/>
            <w:r>
              <w:rPr>
                <w:b w:val="0"/>
                <w:sz w:val="19"/>
              </w:rPr>
              <w:t>Договориться о конкретном действии, сроке и участниках.</w:t>
            </w:r>
          </w:p>
        </w:tc>
        <w:tc>
          <w:tcPr>
            <w:tcW w:type="dxa" w:w="4649"/>
          </w:tcPr>
          <w:p>
            <w:r/>
            <w:r>
              <w:rPr>
                <w:b w:val="0"/>
                <w:sz w:val="19"/>
              </w:rPr>
              <w:t>«Давайте договоримся: я отправлю [материал] до [дата], а [день, время] созвонимся и обсудим. Вам подходит?»</w:t>
            </w:r>
          </w:p>
        </w:tc>
        <w:tc>
          <w:tcPr>
            <w:tcW w:type="dxa" w:w="3288"/>
          </w:tcPr>
          <w:p>
            <w:r/>
            <w:r>
              <w:rPr>
                <w:b w:val="0"/>
                <w:sz w:val="19"/>
              </w:rPr>
              <w:t>Названы действие, срок и ответственный, клиент подтвердил.</w:t>
            </w:r>
          </w:p>
        </w:tc>
        <w:tc>
          <w:tcPr>
            <w:tcW w:type="dxa" w:w="2268"/>
          </w:tcPr>
          <w:p>
            <w:r/>
            <w:r>
              <w:rPr>
                <w:b w:val="0"/>
                <w:sz w:val="19"/>
              </w:rPr>
            </w:r>
          </w:p>
        </w:tc>
      </w:tr>
    </w:tbl>
    <w:p>
      <w:pPr>
        <w:pStyle w:val="Heading2"/>
      </w:pPr>
      <w:r>
        <w:rPr>
          <w:color w:val="1E3A5F"/>
        </w:rPr>
        <w:t>Три варианта скрипта: входящий, холодный и повторный звонок</w:t>
      </w:r>
    </w:p>
    <w:p>
      <w:r>
        <w:t>Этапы те же, меняются акценты и то, что считать успехом. Сравнивайте и оценивайте эти звонки раздельно: входящий и холодный нельзя мерить одной линейкой.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005"/>
        <w:gridCol w:w="3005"/>
        <w:gridCol w:w="3005"/>
        <w:gridCol w:w="3005"/>
        <w:gridCol w:w="3005"/>
      </w:tblGrid>
      <w:tr>
        <w:trPr>
          <w:tblHeader w:val="true"/>
        </w:trPr>
        <w:tc>
          <w:tcPr>
            <w:tcW w:type="dxa" w:w="1928"/>
            <w:shd w:val="clear" w:color="auto" w:fill="1E3A5F"/>
          </w:tcPr>
          <w:p>
            <w:r/>
            <w:r>
              <w:rPr>
                <w:b/>
                <w:color w:val="FFFFFF"/>
                <w:sz w:val="19"/>
              </w:rPr>
              <w:t>Вариант</w:t>
            </w:r>
          </w:p>
        </w:tc>
        <w:tc>
          <w:tcPr>
            <w:tcW w:type="dxa" w:w="2381"/>
            <w:shd w:val="clear" w:color="auto" w:fill="1E3A5F"/>
          </w:tcPr>
          <w:p>
            <w:r/>
            <w:r>
              <w:rPr>
                <w:b/>
                <w:color w:val="FFFFFF"/>
                <w:sz w:val="19"/>
              </w:rPr>
              <w:t>Когда применяется</w:t>
            </w:r>
          </w:p>
        </w:tc>
        <w:tc>
          <w:tcPr>
            <w:tcW w:type="dxa" w:w="3969"/>
            <w:shd w:val="clear" w:color="auto" w:fill="1E3A5F"/>
          </w:tcPr>
          <w:p>
            <w:r/>
            <w:r>
              <w:rPr>
                <w:b/>
                <w:color w:val="FFFFFF"/>
                <w:sz w:val="19"/>
              </w:rPr>
              <w:t>Открытие</w:t>
            </w:r>
          </w:p>
        </w:tc>
        <w:tc>
          <w:tcPr>
            <w:tcW w:type="dxa" w:w="3969"/>
            <w:shd w:val="clear" w:color="auto" w:fill="1E3A5F"/>
          </w:tcPr>
          <w:p>
            <w:r/>
            <w:r>
              <w:rPr>
                <w:b/>
                <w:color w:val="FFFFFF"/>
                <w:sz w:val="19"/>
              </w:rPr>
              <w:t>Акцент</w:t>
            </w:r>
          </w:p>
        </w:tc>
        <w:tc>
          <w:tcPr>
            <w:tcW w:type="dxa" w:w="2835"/>
            <w:shd w:val="clear" w:color="auto" w:fill="1E3A5F"/>
          </w:tcPr>
          <w:p>
            <w:r/>
            <w:r>
              <w:rPr>
                <w:b/>
                <w:color w:val="FFFFFF"/>
                <w:sz w:val="19"/>
              </w:rPr>
              <w:t>Результат звонка</w:t>
            </w:r>
          </w:p>
        </w:tc>
      </w:tr>
      <w:tr>
        <w:tc>
          <w:tcPr>
            <w:tcW w:type="dxa" w:w="1928"/>
            <w:shd w:val="clear" w:color="auto" w:fill="E8EDF3"/>
          </w:tcPr>
          <w:p>
            <w:r/>
            <w:r>
              <w:rPr>
                <w:b/>
                <w:sz w:val="19"/>
              </w:rPr>
              <w:t>Входящий звонок</w:t>
            </w:r>
          </w:p>
        </w:tc>
        <w:tc>
          <w:tcPr>
            <w:tcW w:type="dxa" w:w="2381"/>
          </w:tcPr>
          <w:p>
            <w:r/>
            <w:r>
              <w:rPr>
                <w:b w:val="0"/>
                <w:sz w:val="19"/>
              </w:rPr>
              <w:t>Клиент позвонил сам: по рекламе, рекомендации или заявке.</w:t>
            </w:r>
          </w:p>
        </w:tc>
        <w:tc>
          <w:tcPr>
            <w:tcW w:type="dxa" w:w="3969"/>
          </w:tcPr>
          <w:p>
            <w:r/>
            <w:r>
              <w:rPr>
                <w:b w:val="0"/>
                <w:sz w:val="19"/>
              </w:rPr>
              <w:t>«Добрый день, [компания], меня зовут [имя]. Чем могу помочь?»</w:t>
            </w:r>
          </w:p>
        </w:tc>
        <w:tc>
          <w:tcPr>
            <w:tcW w:type="dxa" w:w="3969"/>
          </w:tcPr>
          <w:p>
            <w:r/>
            <w:r>
              <w:rPr>
                <w:b w:val="0"/>
                <w:sz w:val="19"/>
              </w:rPr>
              <w:t>Быстро выяснить, что привело клиента, и не начинать презентацию, пока нет ответов о задаче.</w:t>
            </w:r>
          </w:p>
        </w:tc>
        <w:tc>
          <w:tcPr>
            <w:tcW w:type="dxa" w:w="2835"/>
          </w:tcPr>
          <w:p>
            <w:r/>
            <w:r>
              <w:rPr>
                <w:b w:val="0"/>
                <w:sz w:val="19"/>
              </w:rPr>
              <w:t>Заявка квалифицирована, назначен следующий контакт.</w:t>
            </w:r>
          </w:p>
        </w:tc>
      </w:tr>
      <w:tr>
        <w:tc>
          <w:tcPr>
            <w:tcW w:type="dxa" w:w="1928"/>
            <w:shd w:val="clear" w:color="auto" w:fill="E8EDF3"/>
          </w:tcPr>
          <w:p>
            <w:r/>
            <w:r>
              <w:rPr>
                <w:b/>
                <w:sz w:val="19"/>
              </w:rPr>
              <w:t>Холодный звонок</w:t>
            </w:r>
          </w:p>
        </w:tc>
        <w:tc>
          <w:tcPr>
            <w:tcW w:type="dxa" w:w="2381"/>
          </w:tcPr>
          <w:p>
            <w:r/>
            <w:r>
              <w:rPr>
                <w:b w:val="0"/>
                <w:sz w:val="19"/>
              </w:rPr>
              <w:t>Клиент вас не ждёт и заявку не оставлял.</w:t>
            </w:r>
          </w:p>
        </w:tc>
        <w:tc>
          <w:tcPr>
            <w:tcW w:type="dxa" w:w="3969"/>
          </w:tcPr>
          <w:p>
            <w:r/>
            <w:r>
              <w:rPr>
                <w:b w:val="0"/>
                <w:sz w:val="19"/>
              </w:rPr>
              <w:t>«Добрый день, [имя]. Меня зовут [имя менеджера], компания [компания]. Звоню по поводу [причина]. Сейчас удобно поговорить две минуты?»</w:t>
            </w:r>
          </w:p>
        </w:tc>
        <w:tc>
          <w:tcPr>
            <w:tcW w:type="dxa" w:w="3969"/>
          </w:tcPr>
          <w:p>
            <w:r/>
            <w:r>
              <w:rPr>
                <w:b w:val="0"/>
                <w:sz w:val="19"/>
              </w:rPr>
              <w:t>Открытие короткое, вопросов на выявление два-три, презентация — одна мысль под задачу. Типичные возражения «не интересно» и «пришлите на почту» разбирайте на этапе возражений.</w:t>
            </w:r>
          </w:p>
        </w:tc>
        <w:tc>
          <w:tcPr>
            <w:tcW w:type="dxa" w:w="2835"/>
          </w:tcPr>
          <w:p>
            <w:r/>
            <w:r>
              <w:rPr>
                <w:b w:val="0"/>
                <w:sz w:val="19"/>
              </w:rPr>
              <w:t>Договорённость о встрече или созвоне, а не продажа с первого звонка.</w:t>
            </w:r>
          </w:p>
        </w:tc>
      </w:tr>
      <w:tr>
        <w:tc>
          <w:tcPr>
            <w:tcW w:type="dxa" w:w="1928"/>
            <w:shd w:val="clear" w:color="auto" w:fill="E8EDF3"/>
          </w:tcPr>
          <w:p>
            <w:r/>
            <w:r>
              <w:rPr>
                <w:b/>
                <w:sz w:val="19"/>
              </w:rPr>
              <w:t>Повторный звонок после коммерческого предложения</w:t>
            </w:r>
          </w:p>
        </w:tc>
        <w:tc>
          <w:tcPr>
            <w:tcW w:type="dxa" w:w="2381"/>
          </w:tcPr>
          <w:p>
            <w:r/>
            <w:r>
              <w:rPr>
                <w:b w:val="0"/>
                <w:sz w:val="19"/>
              </w:rPr>
              <w:t>Клиент получил предложение, ответа нет.</w:t>
            </w:r>
          </w:p>
        </w:tc>
        <w:tc>
          <w:tcPr>
            <w:tcW w:type="dxa" w:w="3969"/>
          </w:tcPr>
          <w:p>
            <w:r/>
            <w:r>
              <w:rPr>
                <w:b w:val="0"/>
                <w:sz w:val="19"/>
              </w:rPr>
              <w:t>«Добрый день, [имя]. Это [имя менеджера], компания [компания]. Мы отправляли вам предложение [дата] — удалось с ним ознакомиться?»</w:t>
            </w:r>
          </w:p>
        </w:tc>
        <w:tc>
          <w:tcPr>
            <w:tcW w:type="dxa" w:w="3969"/>
          </w:tcPr>
          <w:p>
            <w:r/>
            <w:r>
              <w:rPr>
                <w:b w:val="0"/>
                <w:sz w:val="19"/>
              </w:rPr>
              <w:t>Не повторять презентацию. Выяснить, что клиент решил, что мешает и кто ещё согласует; возражения чаще касаются цены и сравнения с другим поставщиком.</w:t>
            </w:r>
          </w:p>
        </w:tc>
        <w:tc>
          <w:tcPr>
            <w:tcW w:type="dxa" w:w="2835"/>
          </w:tcPr>
          <w:p>
            <w:r/>
            <w:r>
              <w:rPr>
                <w:b w:val="0"/>
                <w:sz w:val="19"/>
              </w:rPr>
              <w:t>Названы дата решения и участники согласования.</w:t>
            </w:r>
          </w:p>
        </w:tc>
      </w:tr>
    </w:tbl>
    <w:p>
      <w:pPr>
        <w:pStyle w:val="Heading2"/>
      </w:pPr>
      <w:r>
        <w:rPr>
          <w:color w:val="1E3A5F"/>
        </w:rPr>
        <w:t>Как проверить скрипт по записи: этап, что искать, признак нарушения</w:t>
      </w:r>
    </w:p>
    <w:p>
      <w:r>
        <w:t>Таблица переводит этапы скрипта в критерии проверки. Пороги (сколько вопросов достаточно, какая пауза допустима) задаёте вы: в учебном шаблоне их нет.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008"/>
        <w:gridCol w:w="5008"/>
        <w:gridCol w:w="5008"/>
      </w:tblGrid>
      <w:tr>
        <w:trPr>
          <w:tblHeader w:val="true"/>
        </w:trPr>
        <w:tc>
          <w:tcPr>
            <w:tcW w:type="dxa" w:w="2551"/>
            <w:shd w:val="clear" w:color="auto" w:fill="1E3A5F"/>
          </w:tcPr>
          <w:p>
            <w:r/>
            <w:r>
              <w:rPr>
                <w:b/>
                <w:color w:val="FFFFFF"/>
                <w:sz w:val="19"/>
              </w:rPr>
              <w:t>Этап скрипта</w:t>
            </w:r>
          </w:p>
        </w:tc>
        <w:tc>
          <w:tcPr>
            <w:tcW w:type="dxa" w:w="6236"/>
            <w:shd w:val="clear" w:color="auto" w:fill="1E3A5F"/>
          </w:tcPr>
          <w:p>
            <w:r/>
            <w:r>
              <w:rPr>
                <w:b/>
                <w:color w:val="FFFFFF"/>
                <w:sz w:val="19"/>
              </w:rPr>
              <w:t>Что проверить в записи</w:t>
            </w:r>
          </w:p>
        </w:tc>
        <w:tc>
          <w:tcPr>
            <w:tcW w:type="dxa" w:w="6236"/>
            <w:shd w:val="clear" w:color="auto" w:fill="1E3A5F"/>
          </w:tcPr>
          <w:p>
            <w:r/>
            <w:r>
              <w:rPr>
                <w:b/>
                <w:color w:val="FFFFFF"/>
                <w:sz w:val="19"/>
              </w:rPr>
              <w:t>Признак нарушения</w:t>
            </w:r>
          </w:p>
        </w:tc>
      </w:tr>
      <w:tr>
        <w:tc>
          <w:tcPr>
            <w:tcW w:type="dxa" w:w="2551"/>
            <w:shd w:val="clear" w:color="auto" w:fill="E8EDF3"/>
          </w:tcPr>
          <w:p>
            <w:r/>
            <w:r>
              <w:rPr>
                <w:b/>
                <w:sz w:val="19"/>
              </w:rPr>
              <w:t>1. Открытие</w:t>
            </w:r>
          </w:p>
        </w:tc>
        <w:tc>
          <w:tcPr>
            <w:tcW w:type="dxa" w:w="6236"/>
          </w:tcPr>
          <w:p>
            <w:r/>
            <w:r>
              <w:rPr>
                <w:b w:val="0"/>
                <w:sz w:val="19"/>
              </w:rPr>
              <w:t>Менеджер назвал себя и компанию, объяснил причину звонка; в исходящем звонке спросил, удобно ли говорить.</w:t>
            </w:r>
          </w:p>
        </w:tc>
        <w:tc>
          <w:tcPr>
            <w:tcW w:type="dxa" w:w="6236"/>
          </w:tcPr>
          <w:p>
            <w:r/>
            <w:r>
              <w:rPr>
                <w:b w:val="0"/>
                <w:sz w:val="19"/>
              </w:rPr>
              <w:t>Сразу презентация продукта; клиент переспрашивает «кто это?»; причина звонка не названа.</w:t>
            </w:r>
          </w:p>
        </w:tc>
      </w:tr>
      <w:tr>
        <w:tc>
          <w:tcPr>
            <w:tcW w:type="dxa" w:w="2551"/>
            <w:shd w:val="clear" w:color="auto" w:fill="E8EDF3"/>
          </w:tcPr>
          <w:p>
            <w:r/>
            <w:r>
              <w:rPr>
                <w:b/>
                <w:sz w:val="19"/>
              </w:rPr>
              <w:t>2. Выявление потребности</w:t>
            </w:r>
          </w:p>
        </w:tc>
        <w:tc>
          <w:tcPr>
            <w:tcW w:type="dxa" w:w="6236"/>
          </w:tcPr>
          <w:p>
            <w:r/>
            <w:r>
              <w:rPr>
                <w:b w:val="0"/>
                <w:sz w:val="19"/>
              </w:rPr>
              <w:t>Есть вопросы о задаче и сроке клиента; ответы клиента услышаны и использованы дальше.</w:t>
            </w:r>
          </w:p>
        </w:tc>
        <w:tc>
          <w:tcPr>
            <w:tcW w:type="dxa" w:w="6236"/>
          </w:tcPr>
          <w:p>
            <w:r/>
            <w:r>
              <w:rPr>
                <w:b w:val="0"/>
                <w:sz w:val="19"/>
              </w:rPr>
              <w:t>Вопросов нет или они закрытые («вам это интересно?»); следующий этап не связан с ответами.</w:t>
            </w:r>
          </w:p>
        </w:tc>
      </w:tr>
      <w:tr>
        <w:tc>
          <w:tcPr>
            <w:tcW w:type="dxa" w:w="2551"/>
            <w:shd w:val="clear" w:color="auto" w:fill="E8EDF3"/>
          </w:tcPr>
          <w:p>
            <w:r/>
            <w:r>
              <w:rPr>
                <w:b/>
                <w:sz w:val="19"/>
              </w:rPr>
              <w:t>3. Презентация</w:t>
            </w:r>
          </w:p>
        </w:tc>
        <w:tc>
          <w:tcPr>
            <w:tcW w:type="dxa" w:w="6236"/>
          </w:tcPr>
          <w:p>
            <w:r/>
            <w:r>
              <w:rPr>
                <w:b w:val="0"/>
                <w:sz w:val="19"/>
              </w:rPr>
              <w:t>Предложение привязано к задаче, которую назвал клиент; перечень возможностей не заменяет эту связь.</w:t>
            </w:r>
          </w:p>
        </w:tc>
        <w:tc>
          <w:tcPr>
            <w:tcW w:type="dxa" w:w="6236"/>
          </w:tcPr>
          <w:p>
            <w:r/>
            <w:r>
              <w:rPr>
                <w:b w:val="0"/>
                <w:sz w:val="19"/>
              </w:rPr>
              <w:t>Общий монолог о компании и продукте; ни одной отсылки к словам клиента.</w:t>
            </w:r>
          </w:p>
        </w:tc>
      </w:tr>
      <w:tr>
        <w:tc>
          <w:tcPr>
            <w:tcW w:type="dxa" w:w="2551"/>
            <w:shd w:val="clear" w:color="auto" w:fill="E8EDF3"/>
          </w:tcPr>
          <w:p>
            <w:r/>
            <w:r>
              <w:rPr>
                <w:b/>
                <w:sz w:val="19"/>
              </w:rPr>
              <w:t>4. Работа с возражениями</w:t>
            </w:r>
          </w:p>
        </w:tc>
        <w:tc>
          <w:tcPr>
            <w:tcW w:type="dxa" w:w="6236"/>
          </w:tcPr>
          <w:p>
            <w:r/>
            <w:r>
              <w:rPr>
                <w:b w:val="0"/>
                <w:sz w:val="19"/>
              </w:rPr>
              <w:t>Менеджер уточнил причину сомнения, ответил по существу и проверил, снят ли вопрос.</w:t>
            </w:r>
          </w:p>
        </w:tc>
        <w:tc>
          <w:tcPr>
            <w:tcW w:type="dxa" w:w="6236"/>
          </w:tcPr>
          <w:p>
            <w:r/>
            <w:r>
              <w:rPr>
                <w:b w:val="0"/>
                <w:sz w:val="19"/>
              </w:rPr>
              <w:t>Согласие без вопросов («хорошо, до свидания»); «отправлю информацию» вместо ответа; спор с клиентом.</w:t>
            </w:r>
          </w:p>
        </w:tc>
      </w:tr>
      <w:tr>
        <w:tc>
          <w:tcPr>
            <w:tcW w:type="dxa" w:w="2551"/>
            <w:shd w:val="clear" w:color="auto" w:fill="E8EDF3"/>
          </w:tcPr>
          <w:p>
            <w:r/>
            <w:r>
              <w:rPr>
                <w:b/>
                <w:sz w:val="19"/>
              </w:rPr>
              <w:t>5. Следующий шаг</w:t>
            </w:r>
          </w:p>
        </w:tc>
        <w:tc>
          <w:tcPr>
            <w:tcW w:type="dxa" w:w="6236"/>
          </w:tcPr>
          <w:p>
            <w:r/>
            <w:r>
              <w:rPr>
                <w:b w:val="0"/>
                <w:sz w:val="19"/>
              </w:rPr>
              <w:t>Названы действие, срок и ответственный; клиент подтвердил договорённость.</w:t>
            </w:r>
          </w:p>
        </w:tc>
        <w:tc>
          <w:tcPr>
            <w:tcW w:type="dxa" w:w="6236"/>
          </w:tcPr>
          <w:p>
            <w:r/>
            <w:r>
              <w:rPr>
                <w:b w:val="0"/>
                <w:sz w:val="19"/>
              </w:rPr>
              <w:t>«Я вам перезвоню» без даты; «подумайте» без вопроса клиенту; клиент договорённость не подтвердил.</w:t>
            </w:r>
          </w:p>
        </w:tc>
      </w:tr>
    </w:tbl>
    <w:p>
      <w:r>
        <w:rPr>
          <w:i/>
        </w:rPr>
        <w:t>Для каждого признака нужна цитата из записи: без неё замечание нельзя проверить.</w:t>
      </w:r>
    </w:p>
    <w:p>
      <w:pPr>
        <w:pStyle w:val="Heading2"/>
      </w:pPr>
      <w:r>
        <w:rPr>
          <w:color w:val="1E3A5F"/>
        </w:rPr>
        <w:t>Границы шаблона</w:t>
      </w:r>
    </w:p>
    <w:p>
      <w:r>
        <w:t>Скрипт — опора, а не текст для зачитывания. ИИ-оценка проверяет смысл этапа, а не дословность. Какие этапы обязательны и какие пороги нужны, решаете вы; шаблон не получен из измерений на ваших звонках.</w:t>
      </w:r>
    </w:p>
    <w:p>
      <w:r>
        <w:rPr>
          <w:sz w:val="17"/>
        </w:rPr>
        <w:t>Пояснения и таблица проверки: https://tanuxai.kz/guides/skript-prodazh</w:t>
      </w:r>
    </w:p>
    <w:sectPr w:rsidR="00FC693F" w:rsidRPr="0006063C" w:rsidSect="00034616">
      <w:pgSz w:w="16838" w:h="11906" w:orient="landscape"/>
      <w:pgMar w:top="850" w:right="907" w:bottom="850" w:left="90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eastAsia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Шаблон скрипта продаж по телефону (B2B)</dc:title>
  <dc:subject/>
  <dc:creator>Tanux AI</dc:creator>
  <cp:keywords/>
  <dc:description>generated by python-docx</dc:description>
  <cp:lastModifiedBy/>
  <cp:revision>1</cp:revision>
  <dcterms:created xsi:type="dcterms:W3CDTF">2026-11-02T00:00:00Z</dcterms:created>
  <dcterms:modified xsi:type="dcterms:W3CDTF">2026-11-02T00:00:00Z</dcterms:modified>
  <cp:category/>
  <dc:language>ru</dc:language>
</cp:coreProperties>
</file>